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FC462" w14:textId="77777777" w:rsidR="00FF652F" w:rsidRPr="00FF652F" w:rsidRDefault="00FF652F" w:rsidP="00FF652F">
      <w:pPr>
        <w:pStyle w:val="Footer"/>
        <w:ind w:right="220"/>
        <w:jc w:val="center"/>
        <w:rPr>
          <w:rFonts w:ascii="Arial" w:eastAsia="Times New Roman" w:hAnsi="Arial" w:cs="Arial"/>
          <w:b/>
          <w:noProof/>
          <w:color w:val="000000" w:themeColor="text1"/>
          <w:sz w:val="24"/>
          <w:szCs w:val="24"/>
          <w:lang w:val="en-GB" w:eastAsia="zh-CN"/>
        </w:rPr>
      </w:pPr>
      <w:bookmarkStart w:id="0" w:name="_GoBack"/>
      <w:bookmarkEnd w:id="0"/>
      <w:r w:rsidRPr="00FF652F">
        <w:rPr>
          <w:rFonts w:ascii="Arial" w:eastAsia="Times New Roman" w:hAnsi="Arial" w:cs="Arial"/>
          <w:b/>
          <w:noProof/>
          <w:color w:val="000000" w:themeColor="text1"/>
          <w:sz w:val="24"/>
          <w:szCs w:val="24"/>
          <w:lang w:val="en-GB" w:eastAsia="zh-CN"/>
        </w:rPr>
        <w:t>Vitafoods Asia 2016 Grows Content Offering</w:t>
      </w:r>
    </w:p>
    <w:p w14:paraId="5BCDCF32" w14:textId="64AE9E79" w:rsidR="00FF652F" w:rsidRPr="00367771" w:rsidRDefault="00FF652F" w:rsidP="00FF652F">
      <w:pPr>
        <w:pStyle w:val="Footer"/>
        <w:ind w:right="220"/>
        <w:jc w:val="center"/>
        <w:rPr>
          <w:rFonts w:ascii="Arial" w:eastAsia="Times New Roman" w:hAnsi="Arial" w:cs="Arial"/>
          <w:i/>
          <w:noProof/>
          <w:color w:val="000000" w:themeColor="text1"/>
          <w:sz w:val="20"/>
          <w:lang w:val="en-GB" w:eastAsia="zh-CN"/>
        </w:rPr>
      </w:pPr>
      <w:r w:rsidRPr="00367771">
        <w:rPr>
          <w:rFonts w:ascii="Arial" w:eastAsia="Times New Roman" w:hAnsi="Arial" w:cs="Arial"/>
          <w:i/>
          <w:noProof/>
          <w:color w:val="000000" w:themeColor="text1"/>
          <w:sz w:val="20"/>
          <w:lang w:val="en-GB" w:eastAsia="zh-CN"/>
        </w:rPr>
        <w:t>Coming Edition Offers Companies More Points of Connection for Business Promotion</w:t>
      </w:r>
    </w:p>
    <w:p w14:paraId="0192AB14" w14:textId="77777777" w:rsidR="00FF652F" w:rsidRPr="00FF652F" w:rsidRDefault="00FF652F" w:rsidP="00FF652F">
      <w:pPr>
        <w:pStyle w:val="Footer"/>
        <w:ind w:right="220"/>
        <w:jc w:val="both"/>
        <w:rPr>
          <w:rFonts w:ascii="Arial" w:eastAsia="Times New Roman" w:hAnsi="Arial" w:cs="Arial"/>
          <w:noProof/>
          <w:color w:val="000000" w:themeColor="text1"/>
          <w:sz w:val="17"/>
          <w:szCs w:val="17"/>
          <w:lang w:val="en-GB" w:eastAsia="zh-CN"/>
        </w:rPr>
      </w:pPr>
    </w:p>
    <w:p w14:paraId="72B9BFAE" w14:textId="6C4E5429"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b/>
          <w:noProof/>
          <w:color w:val="000000" w:themeColor="text1"/>
          <w:sz w:val="20"/>
          <w:szCs w:val="20"/>
          <w:lang w:val="en-GB" w:eastAsia="zh-CN"/>
        </w:rPr>
        <w:t>Singapore, 28 April 2016</w:t>
      </w:r>
      <w:r w:rsidRPr="00FF652F">
        <w:rPr>
          <w:rFonts w:ascii="Arial" w:eastAsia="Times New Roman" w:hAnsi="Arial" w:cs="Arial"/>
          <w:noProof/>
          <w:color w:val="000000" w:themeColor="text1"/>
          <w:sz w:val="20"/>
          <w:szCs w:val="20"/>
          <w:lang w:val="en-GB" w:eastAsia="zh-CN"/>
        </w:rPr>
        <w:t xml:space="preserve"> – Vitafoods Asia, the only event dedicated to the nutraceutical, functional food and beverages, and dietary supplement industries in Asia, is set to make its return to the AsiaWorld-Expo, Hong Kong, from 1 - 2 September 2016. This year, the show offers attendees even more opportunities to make new business connections and uncover innovations with its series of new show elements and features. The sixth edition will feature more than 170 international exhibiting companies, who will present their latest offerings to upwards of 3,000 visitors from across Asia.</w:t>
      </w:r>
    </w:p>
    <w:p w14:paraId="5AFB76DD"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7C0BDD04"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“Vitafoods Asia has built a solid foundation within a short span of five years, creating a professional and valued business platform for Asia’s nutraceutical industry,” said Mr Chris Lee, Portfolio Director, Vitafoods Events. “While our main focus is still on providing the industry with a common ground for networking and trade, the next step would be to enhance the overall show experience for both our exhibitors and visitors, and that means offering substantial content, be it new show features or engaging educational opportunities.”</w:t>
      </w:r>
    </w:p>
    <w:p w14:paraId="6E2ACF65" w14:textId="77777777" w:rsidR="00FF652F" w:rsidRPr="00FF652F" w:rsidRDefault="00FF652F" w:rsidP="00FF652F">
      <w:pPr>
        <w:pStyle w:val="Footer"/>
        <w:ind w:right="220"/>
        <w:jc w:val="both"/>
        <w:rPr>
          <w:rFonts w:ascii="Arial" w:eastAsia="Times New Roman" w:hAnsi="Arial" w:cs="Arial"/>
          <w:b/>
          <w:noProof/>
          <w:color w:val="000000" w:themeColor="text1"/>
          <w:sz w:val="20"/>
          <w:szCs w:val="20"/>
          <w:lang w:val="en-GB" w:eastAsia="zh-CN"/>
        </w:rPr>
      </w:pPr>
    </w:p>
    <w:p w14:paraId="7B635A16" w14:textId="77777777" w:rsidR="00FF652F" w:rsidRPr="00FF652F" w:rsidRDefault="00FF652F" w:rsidP="00FF652F">
      <w:pPr>
        <w:pStyle w:val="Footer"/>
        <w:ind w:right="220"/>
        <w:jc w:val="both"/>
        <w:rPr>
          <w:rFonts w:ascii="Arial" w:eastAsia="Times New Roman" w:hAnsi="Arial" w:cs="Arial"/>
          <w:b/>
          <w:noProof/>
          <w:color w:val="000000" w:themeColor="text1"/>
          <w:sz w:val="20"/>
          <w:szCs w:val="20"/>
          <w:lang w:val="en-GB" w:eastAsia="zh-CN"/>
        </w:rPr>
      </w:pPr>
      <w:r w:rsidRPr="00FF652F">
        <w:rPr>
          <w:rFonts w:ascii="Arial" w:eastAsia="Times New Roman" w:hAnsi="Arial" w:cs="Arial"/>
          <w:b/>
          <w:noProof/>
          <w:color w:val="000000" w:themeColor="text1"/>
          <w:sz w:val="20"/>
          <w:szCs w:val="20"/>
          <w:lang w:val="en-GB" w:eastAsia="zh-CN"/>
        </w:rPr>
        <w:t>Stronger Support with New Industry Pillars</w:t>
      </w:r>
    </w:p>
    <w:p w14:paraId="2D83FCB3"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3B82187F"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 xml:space="preserve">Similar to its Europe counterpart, Vitafoods Asia will also undergo a restructure this year in order to further strengthen its offerings to the industry. The show will cover four key sectors of the nutraceutical industry, each catering to a distinct group of exhibitors and visitors. This move stems from the organiser’s aim to offer the industry more focused and targeted content across all segments. </w:t>
      </w:r>
    </w:p>
    <w:p w14:paraId="08F2A631"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5FDE6869"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The four sectors are:</w:t>
      </w:r>
    </w:p>
    <w:p w14:paraId="72587057" w14:textId="77777777" w:rsidR="00FF652F" w:rsidRPr="00FF652F" w:rsidRDefault="00FF652F" w:rsidP="00FF652F">
      <w:pPr>
        <w:pStyle w:val="Footer"/>
        <w:numPr>
          <w:ilvl w:val="0"/>
          <w:numId w:val="1"/>
        </w:numP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 xml:space="preserve">Ingredients &amp; Raw Materials; </w:t>
      </w:r>
    </w:p>
    <w:p w14:paraId="45DA9E89" w14:textId="77777777" w:rsidR="00FF652F" w:rsidRPr="00FF652F" w:rsidRDefault="00FF652F" w:rsidP="00FF652F">
      <w:pPr>
        <w:pStyle w:val="Footer"/>
        <w:numPr>
          <w:ilvl w:val="0"/>
          <w:numId w:val="1"/>
        </w:numP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Contract Manufacturing &amp; Private Label;</w:t>
      </w:r>
    </w:p>
    <w:p w14:paraId="6F00BB05" w14:textId="77777777" w:rsidR="00FF652F" w:rsidRPr="00FF652F" w:rsidRDefault="00FF652F" w:rsidP="00FF652F">
      <w:pPr>
        <w:pStyle w:val="Footer"/>
        <w:numPr>
          <w:ilvl w:val="0"/>
          <w:numId w:val="1"/>
        </w:numP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Services &amp; Equipment, and</w:t>
      </w:r>
    </w:p>
    <w:p w14:paraId="0A139313" w14:textId="77777777" w:rsidR="00FF652F" w:rsidRPr="00FF652F" w:rsidRDefault="00FF652F" w:rsidP="00FF652F">
      <w:pPr>
        <w:pStyle w:val="Footer"/>
        <w:numPr>
          <w:ilvl w:val="0"/>
          <w:numId w:val="1"/>
        </w:numP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Finished Products</w:t>
      </w:r>
    </w:p>
    <w:p w14:paraId="2BFDF4E1"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48A81F53"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 xml:space="preserve">The introduction of different sectors at the show serves to create a specialised business environment within each sector, and is designed to facilitate business interactions at Vitafoods Asia. In addition to reflecting the diverse nature of the nutraceutical industry, this fresh approach assures exhibiting companies of ample opportunities to meet with a more targeted audience. Likewise, visitors will also be able to identify their desired exhibitors with greater ease, allowing them to maximise their time at Vitafoods Asia. All in all, exhibitors and visitors can expect a more effective show experience that facilitates business discussions at the 2016 edition. </w:t>
      </w:r>
    </w:p>
    <w:p w14:paraId="74C686D8"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7F30088C" w14:textId="77777777" w:rsidR="00FF652F" w:rsidRPr="00FF652F" w:rsidRDefault="00FF652F" w:rsidP="00FF652F">
      <w:pPr>
        <w:pStyle w:val="Footer"/>
        <w:ind w:right="220"/>
        <w:jc w:val="both"/>
        <w:rPr>
          <w:rFonts w:ascii="Arial" w:eastAsia="Times New Roman" w:hAnsi="Arial" w:cs="Arial"/>
          <w:b/>
          <w:noProof/>
          <w:color w:val="000000" w:themeColor="text1"/>
          <w:sz w:val="20"/>
          <w:szCs w:val="20"/>
          <w:lang w:val="en-GB" w:eastAsia="zh-CN"/>
        </w:rPr>
      </w:pPr>
      <w:r w:rsidRPr="00FF652F">
        <w:rPr>
          <w:rFonts w:ascii="Arial" w:eastAsia="Times New Roman" w:hAnsi="Arial" w:cs="Arial"/>
          <w:b/>
          <w:noProof/>
          <w:color w:val="000000" w:themeColor="text1"/>
          <w:sz w:val="20"/>
          <w:szCs w:val="20"/>
          <w:lang w:val="en-GB" w:eastAsia="zh-CN"/>
        </w:rPr>
        <w:t xml:space="preserve">A Multitude of Business and Education Avenues </w:t>
      </w:r>
    </w:p>
    <w:p w14:paraId="70C4DB44"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4B1CBC02"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 xml:space="preserve">Exhibitors who are looking to extend their reach and maximise exposure at Vitafoods Asia can also choose to leverage on several new and existing platforms for their marketing needs. </w:t>
      </w:r>
    </w:p>
    <w:p w14:paraId="40CE818C" w14:textId="77777777" w:rsidR="00367771" w:rsidRDefault="00367771" w:rsidP="00FF652F">
      <w:pPr>
        <w:pStyle w:val="Footer"/>
        <w:ind w:right="220"/>
        <w:jc w:val="both"/>
        <w:rPr>
          <w:rFonts w:ascii="Arial" w:eastAsia="Times New Roman" w:hAnsi="Arial" w:cs="Arial"/>
          <w:noProof/>
          <w:color w:val="000000" w:themeColor="text1"/>
          <w:sz w:val="20"/>
          <w:szCs w:val="20"/>
          <w:lang w:val="en-GB" w:eastAsia="zh-CN"/>
        </w:rPr>
      </w:pPr>
    </w:p>
    <w:p w14:paraId="58E2DF96" w14:textId="682DD19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 xml:space="preserve">Headlining Vitafoods Asia 2016 as one of the main visitor attractions, the </w:t>
      </w:r>
      <w:r w:rsidRPr="00FF652F">
        <w:rPr>
          <w:rFonts w:ascii="Arial" w:eastAsia="Times New Roman" w:hAnsi="Arial" w:cs="Arial"/>
          <w:b/>
          <w:noProof/>
          <w:color w:val="000000" w:themeColor="text1"/>
          <w:sz w:val="20"/>
          <w:szCs w:val="20"/>
          <w:lang w:val="en-GB" w:eastAsia="zh-CN"/>
        </w:rPr>
        <w:t>Springboard Pavilion</w:t>
      </w:r>
      <w:r w:rsidRPr="00FF652F">
        <w:rPr>
          <w:rFonts w:ascii="Arial" w:eastAsia="Times New Roman" w:hAnsi="Arial" w:cs="Arial"/>
          <w:noProof/>
          <w:color w:val="000000" w:themeColor="text1"/>
          <w:sz w:val="20"/>
          <w:szCs w:val="20"/>
          <w:lang w:val="en-GB" w:eastAsia="zh-CN"/>
        </w:rPr>
        <w:t xml:space="preserve"> is a new initiative that underscores budding entrepreneurial businesses and start-ups in the industry who are exhibiting for the first time. The pavilion not only serves as a launch pad for companies new to the </w:t>
      </w:r>
      <w:r w:rsidRPr="00FF652F">
        <w:rPr>
          <w:rFonts w:ascii="Arial" w:eastAsia="Times New Roman" w:hAnsi="Arial" w:cs="Arial"/>
          <w:noProof/>
          <w:color w:val="000000" w:themeColor="text1"/>
          <w:sz w:val="20"/>
          <w:szCs w:val="20"/>
          <w:lang w:val="en-GB" w:eastAsia="zh-CN"/>
        </w:rPr>
        <w:lastRenderedPageBreak/>
        <w:t xml:space="preserve">nutraceutical industry, but also gives these companies a chance to experience Vitafoods Asia without having to commit to a full-sized booth. </w:t>
      </w:r>
    </w:p>
    <w:p w14:paraId="12A85A7B"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5FA3E41E" w14:textId="77777777" w:rsidR="00FF652F" w:rsidRPr="00FF652F" w:rsidRDefault="00FF652F" w:rsidP="00FF652F">
      <w:pPr>
        <w:pStyle w:val="Footer"/>
        <w:ind w:right="220"/>
        <w:jc w:val="both"/>
        <w:rPr>
          <w:rFonts w:ascii="Arial" w:eastAsia="Times New Roman" w:hAnsi="Arial" w:cs="Arial"/>
          <w:b/>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 xml:space="preserve">The </w:t>
      </w:r>
      <w:r w:rsidRPr="00FF652F">
        <w:rPr>
          <w:rFonts w:ascii="Arial" w:eastAsia="Times New Roman" w:hAnsi="Arial" w:cs="Arial"/>
          <w:b/>
          <w:noProof/>
          <w:color w:val="000000" w:themeColor="text1"/>
          <w:sz w:val="20"/>
          <w:szCs w:val="20"/>
          <w:lang w:val="en-GB" w:eastAsia="zh-CN"/>
        </w:rPr>
        <w:t xml:space="preserve">Inspiration Showcase </w:t>
      </w:r>
      <w:r w:rsidRPr="00FF652F">
        <w:rPr>
          <w:rFonts w:ascii="Arial" w:eastAsia="Times New Roman" w:hAnsi="Arial" w:cs="Arial"/>
          <w:noProof/>
          <w:color w:val="000000" w:themeColor="text1"/>
          <w:sz w:val="20"/>
          <w:szCs w:val="20"/>
          <w:lang w:val="en-GB" w:eastAsia="zh-CN"/>
        </w:rPr>
        <w:t>houses a selection of ingredients and finished products curated from selected exhibitors, and will be separated into two areas - New Product Launches and Star Products. Companies looking to extend their presence beyond the booth will be able to benefit from the additional exposure that the Inspiration Showcase offers.</w:t>
      </w:r>
      <w:r w:rsidRPr="00FF652F">
        <w:rPr>
          <w:rFonts w:ascii="Arial" w:eastAsia="Times New Roman" w:hAnsi="Arial" w:cs="Arial"/>
          <w:b/>
          <w:noProof/>
          <w:color w:val="000000" w:themeColor="text1"/>
          <w:sz w:val="20"/>
          <w:szCs w:val="20"/>
          <w:lang w:val="en-GB" w:eastAsia="zh-CN"/>
        </w:rPr>
        <w:t xml:space="preserve"> </w:t>
      </w:r>
    </w:p>
    <w:p w14:paraId="2D733F05" w14:textId="77777777" w:rsidR="00FF652F" w:rsidRPr="00FF652F" w:rsidRDefault="00FF652F" w:rsidP="00FF652F">
      <w:pPr>
        <w:pStyle w:val="Footer"/>
        <w:ind w:right="220"/>
        <w:jc w:val="both"/>
        <w:rPr>
          <w:rFonts w:ascii="Arial" w:eastAsia="Times New Roman" w:hAnsi="Arial" w:cs="Arial"/>
          <w:b/>
          <w:noProof/>
          <w:color w:val="000000" w:themeColor="text1"/>
          <w:sz w:val="20"/>
          <w:szCs w:val="20"/>
          <w:lang w:val="en-GB" w:eastAsia="zh-CN"/>
        </w:rPr>
      </w:pPr>
    </w:p>
    <w:p w14:paraId="394580C7"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 xml:space="preserve">The </w:t>
      </w:r>
      <w:r w:rsidRPr="00FF652F">
        <w:rPr>
          <w:rFonts w:ascii="Arial" w:eastAsia="Times New Roman" w:hAnsi="Arial" w:cs="Arial"/>
          <w:b/>
          <w:noProof/>
          <w:color w:val="000000" w:themeColor="text1"/>
          <w:sz w:val="20"/>
          <w:szCs w:val="20"/>
          <w:lang w:val="en-GB" w:eastAsia="zh-CN"/>
        </w:rPr>
        <w:t>Tasting Bar</w:t>
      </w:r>
      <w:r w:rsidRPr="00FF652F">
        <w:rPr>
          <w:rFonts w:ascii="Arial" w:eastAsia="Times New Roman" w:hAnsi="Arial" w:cs="Arial"/>
          <w:noProof/>
          <w:color w:val="000000" w:themeColor="text1"/>
          <w:sz w:val="20"/>
          <w:szCs w:val="20"/>
          <w:lang w:val="en-GB" w:eastAsia="zh-CN"/>
        </w:rPr>
        <w:t xml:space="preserve"> returns once again this year, offering all visitors an interactive and delectable experience at the showcase. Split into two categories of </w:t>
      </w:r>
      <w:r w:rsidRPr="00FF652F">
        <w:rPr>
          <w:rFonts w:ascii="Arial" w:eastAsia="Times New Roman" w:hAnsi="Arial" w:cs="Arial"/>
          <w:i/>
          <w:noProof/>
          <w:color w:val="000000" w:themeColor="text1"/>
          <w:sz w:val="20"/>
          <w:szCs w:val="20"/>
          <w:lang w:val="en-GB" w:eastAsia="zh-CN"/>
        </w:rPr>
        <w:t>Food</w:t>
      </w:r>
      <w:r w:rsidRPr="00FF652F">
        <w:rPr>
          <w:rFonts w:ascii="Arial" w:eastAsia="Times New Roman" w:hAnsi="Arial" w:cs="Arial"/>
          <w:noProof/>
          <w:color w:val="000000" w:themeColor="text1"/>
          <w:sz w:val="20"/>
          <w:szCs w:val="20"/>
          <w:lang w:val="en-GB" w:eastAsia="zh-CN"/>
        </w:rPr>
        <w:t xml:space="preserve"> and </w:t>
      </w:r>
      <w:r w:rsidRPr="00FF652F">
        <w:rPr>
          <w:rFonts w:ascii="Arial" w:eastAsia="Times New Roman" w:hAnsi="Arial" w:cs="Arial"/>
          <w:i/>
          <w:noProof/>
          <w:color w:val="000000" w:themeColor="text1"/>
          <w:sz w:val="20"/>
          <w:szCs w:val="20"/>
          <w:lang w:val="en-GB" w:eastAsia="zh-CN"/>
        </w:rPr>
        <w:t>Beverages</w:t>
      </w:r>
      <w:r w:rsidRPr="00FF652F">
        <w:rPr>
          <w:rFonts w:ascii="Arial" w:eastAsia="Times New Roman" w:hAnsi="Arial" w:cs="Arial"/>
          <w:noProof/>
          <w:color w:val="000000" w:themeColor="text1"/>
          <w:sz w:val="20"/>
          <w:szCs w:val="20"/>
          <w:lang w:val="en-GB" w:eastAsia="zh-CN"/>
        </w:rPr>
        <w:t xml:space="preserve">, the feature area allows participating companies to incorporate an experiential element to their showcase, giving visitors the opportunity to view, touch, and taste the functional food and beverage samples on display. In addition, exhibitors also stand a chance to gain recognition through the </w:t>
      </w:r>
      <w:r w:rsidRPr="00FF652F">
        <w:rPr>
          <w:rFonts w:ascii="Arial" w:eastAsia="Times New Roman" w:hAnsi="Arial" w:cs="Arial"/>
          <w:i/>
          <w:noProof/>
          <w:color w:val="000000" w:themeColor="text1"/>
          <w:sz w:val="20"/>
          <w:szCs w:val="20"/>
          <w:lang w:val="en-GB" w:eastAsia="zh-CN"/>
        </w:rPr>
        <w:t>Best Tasting Functional Food</w:t>
      </w:r>
      <w:r w:rsidRPr="00FF652F">
        <w:rPr>
          <w:rFonts w:ascii="Arial" w:eastAsia="Times New Roman" w:hAnsi="Arial" w:cs="Arial"/>
          <w:noProof/>
          <w:color w:val="000000" w:themeColor="text1"/>
          <w:sz w:val="20"/>
          <w:szCs w:val="20"/>
          <w:lang w:val="en-GB" w:eastAsia="zh-CN"/>
        </w:rPr>
        <w:t xml:space="preserve"> and </w:t>
      </w:r>
      <w:r w:rsidRPr="00FF652F">
        <w:rPr>
          <w:rFonts w:ascii="Arial" w:eastAsia="Times New Roman" w:hAnsi="Arial" w:cs="Arial"/>
          <w:i/>
          <w:noProof/>
          <w:color w:val="000000" w:themeColor="text1"/>
          <w:sz w:val="20"/>
          <w:szCs w:val="20"/>
          <w:lang w:val="en-GB" w:eastAsia="zh-CN"/>
        </w:rPr>
        <w:t>Best Tasting Functional Beverage</w:t>
      </w:r>
      <w:r w:rsidRPr="00FF652F">
        <w:rPr>
          <w:rFonts w:ascii="Arial" w:eastAsia="Times New Roman" w:hAnsi="Arial" w:cs="Arial"/>
          <w:noProof/>
          <w:color w:val="000000" w:themeColor="text1"/>
          <w:sz w:val="20"/>
          <w:szCs w:val="20"/>
          <w:lang w:val="en-GB" w:eastAsia="zh-CN"/>
        </w:rPr>
        <w:t xml:space="preserve"> awards, both voted by industry visitors.</w:t>
      </w:r>
    </w:p>
    <w:p w14:paraId="3A6A2397"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14E434C5"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 xml:space="preserve">An all-new segment, </w:t>
      </w:r>
      <w:r w:rsidRPr="00FF652F">
        <w:rPr>
          <w:rFonts w:ascii="Arial" w:eastAsia="Times New Roman" w:hAnsi="Arial" w:cs="Arial"/>
          <w:b/>
          <w:noProof/>
          <w:color w:val="000000" w:themeColor="text1"/>
          <w:sz w:val="20"/>
          <w:szCs w:val="20"/>
          <w:lang w:val="en-GB" w:eastAsia="zh-CN"/>
        </w:rPr>
        <w:t>Discovery Trails</w:t>
      </w:r>
      <w:r w:rsidRPr="00FF652F">
        <w:rPr>
          <w:rFonts w:ascii="Arial" w:eastAsia="Times New Roman" w:hAnsi="Arial" w:cs="Arial"/>
          <w:noProof/>
          <w:color w:val="000000" w:themeColor="text1"/>
          <w:sz w:val="20"/>
          <w:szCs w:val="20"/>
          <w:lang w:val="en-GB" w:eastAsia="zh-CN"/>
        </w:rPr>
        <w:t>, will also be introduced at Vitafoods Asia 2016</w:t>
      </w:r>
      <w:r w:rsidRPr="00FF652F">
        <w:rPr>
          <w:rFonts w:ascii="Arial" w:eastAsia="Times New Roman" w:hAnsi="Arial" w:cs="Arial"/>
          <w:b/>
          <w:noProof/>
          <w:color w:val="000000" w:themeColor="text1"/>
          <w:sz w:val="20"/>
          <w:szCs w:val="20"/>
          <w:lang w:val="en-GB" w:eastAsia="zh-CN"/>
        </w:rPr>
        <w:t xml:space="preserve">. </w:t>
      </w:r>
      <w:r w:rsidRPr="00FF652F">
        <w:rPr>
          <w:rFonts w:ascii="Arial" w:eastAsia="Times New Roman" w:hAnsi="Arial" w:cs="Arial"/>
          <w:noProof/>
          <w:color w:val="000000" w:themeColor="text1"/>
          <w:sz w:val="20"/>
          <w:szCs w:val="20"/>
          <w:lang w:val="en-GB" w:eastAsia="zh-CN"/>
        </w:rPr>
        <w:t>Designed to help visitors pinpoint the top ingredients and products to look out for, the</w:t>
      </w:r>
      <w:r w:rsidRPr="00FF652F">
        <w:rPr>
          <w:rFonts w:ascii="Arial" w:eastAsia="Times New Roman" w:hAnsi="Arial" w:cs="Arial"/>
          <w:b/>
          <w:noProof/>
          <w:color w:val="000000" w:themeColor="text1"/>
          <w:sz w:val="20"/>
          <w:szCs w:val="20"/>
          <w:lang w:val="en-GB" w:eastAsia="zh-CN"/>
        </w:rPr>
        <w:t xml:space="preserve"> </w:t>
      </w:r>
      <w:r w:rsidRPr="00FF652F">
        <w:rPr>
          <w:rFonts w:ascii="Arial" w:eastAsia="Times New Roman" w:hAnsi="Arial" w:cs="Arial"/>
          <w:noProof/>
          <w:color w:val="000000" w:themeColor="text1"/>
          <w:sz w:val="20"/>
          <w:szCs w:val="20"/>
          <w:lang w:val="en-GB" w:eastAsia="zh-CN"/>
        </w:rPr>
        <w:t>trails will consist of a series of self-guided tours marked out onto custom maps that take visitors to participating exhibitors’ booths. With these maps, Discovery Trails exhibitors will be able to better reach their intended target audiences.</w:t>
      </w:r>
    </w:p>
    <w:p w14:paraId="11C92609"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6CC4F125"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 xml:space="preserve">On the education front, the 2016 edition will see the introduction of </w:t>
      </w:r>
      <w:r w:rsidRPr="00FF652F">
        <w:rPr>
          <w:rFonts w:ascii="Arial" w:eastAsia="Times New Roman" w:hAnsi="Arial" w:cs="Arial"/>
          <w:b/>
          <w:noProof/>
          <w:color w:val="000000" w:themeColor="text1"/>
          <w:sz w:val="20"/>
          <w:szCs w:val="20"/>
          <w:lang w:val="en-GB" w:eastAsia="zh-CN"/>
        </w:rPr>
        <w:t>Vitafoods</w:t>
      </w:r>
      <w:r w:rsidRPr="00FF652F">
        <w:rPr>
          <w:rFonts w:ascii="Arial" w:eastAsia="Times New Roman" w:hAnsi="Arial" w:cs="Arial"/>
          <w:noProof/>
          <w:color w:val="000000" w:themeColor="text1"/>
          <w:sz w:val="20"/>
          <w:szCs w:val="20"/>
          <w:lang w:val="en-GB" w:eastAsia="zh-CN"/>
        </w:rPr>
        <w:t xml:space="preserve"> </w:t>
      </w:r>
      <w:r w:rsidRPr="00FF652F">
        <w:rPr>
          <w:rFonts w:ascii="Arial" w:eastAsia="Times New Roman" w:hAnsi="Arial" w:cs="Arial"/>
          <w:b/>
          <w:noProof/>
          <w:color w:val="000000" w:themeColor="text1"/>
          <w:sz w:val="20"/>
          <w:szCs w:val="20"/>
          <w:lang w:val="en-GB" w:eastAsia="zh-CN"/>
        </w:rPr>
        <w:t>Centre Stage</w:t>
      </w:r>
      <w:r w:rsidRPr="00FF652F">
        <w:rPr>
          <w:rFonts w:ascii="Arial" w:eastAsia="Times New Roman" w:hAnsi="Arial" w:cs="Arial"/>
          <w:noProof/>
          <w:color w:val="000000" w:themeColor="text1"/>
          <w:sz w:val="20"/>
          <w:szCs w:val="20"/>
          <w:lang w:val="en-GB" w:eastAsia="zh-CN"/>
        </w:rPr>
        <w:t>, which consists of multiple free-to-attend presentations by leading industry professionals from around the world. This exclusive platform gives exhibitors the opportunity to share their latest ingredients and technology, in the style of an interactive presentation.</w:t>
      </w:r>
    </w:p>
    <w:p w14:paraId="5A641C64"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4DA1FD39"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iCs/>
          <w:noProof/>
          <w:color w:val="000000" w:themeColor="text1"/>
          <w:sz w:val="20"/>
          <w:szCs w:val="20"/>
          <w:lang w:val="en-GB" w:eastAsia="zh-CN"/>
        </w:rPr>
        <w:t xml:space="preserve">Also, sitting alongside the Exhibition is the </w:t>
      </w:r>
      <w:r w:rsidRPr="00FF652F">
        <w:rPr>
          <w:rFonts w:ascii="Arial" w:eastAsia="Times New Roman" w:hAnsi="Arial" w:cs="Arial"/>
          <w:b/>
          <w:iCs/>
          <w:noProof/>
          <w:color w:val="000000" w:themeColor="text1"/>
          <w:sz w:val="20"/>
          <w:szCs w:val="20"/>
          <w:lang w:val="en-GB" w:eastAsia="zh-CN"/>
        </w:rPr>
        <w:t>Vitafoods Asia Conference</w:t>
      </w:r>
      <w:r w:rsidRPr="00FF652F">
        <w:rPr>
          <w:rFonts w:ascii="Arial" w:eastAsia="Times New Roman" w:hAnsi="Arial" w:cs="Arial"/>
          <w:iCs/>
          <w:noProof/>
          <w:color w:val="000000" w:themeColor="text1"/>
          <w:sz w:val="20"/>
          <w:szCs w:val="20"/>
          <w:lang w:val="en-GB" w:eastAsia="zh-CN"/>
        </w:rPr>
        <w:t>, which returns with a focus on applied science for the purpose of product development. Featuring six health categories, the conference covers topics such as best practices for bringing a product to market within the Pan-Asian region.</w:t>
      </w:r>
    </w:p>
    <w:p w14:paraId="5A7C45D4"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5FCD310E" w14:textId="117C802E" w:rsid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 xml:space="preserve"> For more information on Vitafoods Asia 2016, visit </w:t>
      </w:r>
      <w:hyperlink r:id="rId7" w:history="1">
        <w:r w:rsidRPr="00FF652F">
          <w:rPr>
            <w:rStyle w:val="Hyperlink"/>
            <w:rFonts w:ascii="Arial" w:eastAsia="Times New Roman" w:hAnsi="Arial" w:cs="Arial"/>
            <w:noProof/>
            <w:sz w:val="20"/>
            <w:szCs w:val="20"/>
            <w:lang w:val="en-GB" w:eastAsia="zh-CN"/>
          </w:rPr>
          <w:t>www.vitafoodsasia.com</w:t>
        </w:r>
      </w:hyperlink>
      <w:r>
        <w:rPr>
          <w:rFonts w:ascii="Arial" w:eastAsia="Times New Roman" w:hAnsi="Arial" w:cs="Arial"/>
          <w:noProof/>
          <w:color w:val="000000" w:themeColor="text1"/>
          <w:sz w:val="20"/>
          <w:szCs w:val="20"/>
          <w:lang w:val="en-GB" w:eastAsia="zh-CN"/>
        </w:rPr>
        <w:t>.</w:t>
      </w:r>
    </w:p>
    <w:p w14:paraId="519C9AB0" w14:textId="77777777" w:rsid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2FD0A493" w14:textId="77777777" w:rsidR="00C96DCF" w:rsidRPr="00734896" w:rsidRDefault="00C96DCF" w:rsidP="00C96DCF">
      <w:pPr>
        <w:jc w:val="both"/>
        <w:rPr>
          <w:rFonts w:ascii="Arial" w:hAnsi="Arial" w:cs="Arial"/>
          <w:sz w:val="20"/>
          <w:szCs w:val="20"/>
          <w:lang w:val="en-SG"/>
        </w:rPr>
      </w:pPr>
      <w:r w:rsidRPr="00734896">
        <w:rPr>
          <w:rFonts w:ascii="Arial" w:hAnsi="Arial" w:cs="Arial"/>
          <w:sz w:val="20"/>
          <w:szCs w:val="20"/>
          <w:lang w:val="en-SG"/>
        </w:rPr>
        <w:t xml:space="preserve">Connect with Vitafoods Asia 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954"/>
      </w:tblGrid>
      <w:tr w:rsidR="00C96DCF" w:rsidRPr="00734896" w14:paraId="37EB5F91" w14:textId="77777777" w:rsidTr="00E35512">
        <w:tc>
          <w:tcPr>
            <w:tcW w:w="1242" w:type="dxa"/>
          </w:tcPr>
          <w:p w14:paraId="72465671" w14:textId="77777777" w:rsidR="00C96DCF" w:rsidRPr="00616444" w:rsidRDefault="00C96DCF" w:rsidP="00E35512">
            <w:pPr>
              <w:jc w:val="both"/>
              <w:rPr>
                <w:rFonts w:ascii="Arial" w:hAnsi="Arial" w:cs="Arial"/>
                <w:b/>
                <w:sz w:val="20"/>
                <w:szCs w:val="20"/>
                <w:lang w:val="en-SG"/>
              </w:rPr>
            </w:pPr>
            <w:r w:rsidRPr="00616444">
              <w:rPr>
                <w:rFonts w:ascii="Arial" w:hAnsi="Arial" w:cs="Arial"/>
                <w:b/>
                <w:sz w:val="20"/>
                <w:szCs w:val="20"/>
                <w:lang w:val="en-SG"/>
              </w:rPr>
              <w:t>LinkedIn</w:t>
            </w:r>
          </w:p>
        </w:tc>
        <w:tc>
          <w:tcPr>
            <w:tcW w:w="5954" w:type="dxa"/>
          </w:tcPr>
          <w:p w14:paraId="0F6F325A" w14:textId="77777777" w:rsidR="00C96DCF" w:rsidRPr="005216A0" w:rsidRDefault="00374452" w:rsidP="00E35512">
            <w:pPr>
              <w:jc w:val="both"/>
              <w:rPr>
                <w:rFonts w:ascii="Arial" w:hAnsi="Arial" w:cs="Arial"/>
                <w:sz w:val="20"/>
                <w:szCs w:val="20"/>
                <w:lang w:val="en-SG"/>
              </w:rPr>
            </w:pPr>
            <w:hyperlink r:id="rId8" w:history="1">
              <w:r w:rsidR="00C96DCF" w:rsidRPr="005216A0">
                <w:rPr>
                  <w:rStyle w:val="Hyperlink"/>
                  <w:rFonts w:ascii="Arial" w:hAnsi="Arial" w:cs="Arial"/>
                  <w:sz w:val="20"/>
                  <w:szCs w:val="20"/>
                  <w:lang w:val="en-SG"/>
                </w:rPr>
                <w:t>https://www.linkedin.com/grp/home?gid=7431442</w:t>
              </w:r>
            </w:hyperlink>
          </w:p>
        </w:tc>
      </w:tr>
      <w:tr w:rsidR="00C96DCF" w:rsidRPr="00734896" w14:paraId="1BF2ED10" w14:textId="77777777" w:rsidTr="00E35512">
        <w:tc>
          <w:tcPr>
            <w:tcW w:w="1242" w:type="dxa"/>
          </w:tcPr>
          <w:p w14:paraId="5BBE1258" w14:textId="77777777" w:rsidR="00C96DCF" w:rsidRPr="00616444" w:rsidRDefault="00C96DCF" w:rsidP="00E35512">
            <w:pPr>
              <w:jc w:val="both"/>
              <w:rPr>
                <w:rFonts w:ascii="Arial" w:hAnsi="Arial" w:cs="Arial"/>
                <w:b/>
                <w:sz w:val="20"/>
                <w:szCs w:val="20"/>
                <w:lang w:val="en-SG"/>
              </w:rPr>
            </w:pPr>
            <w:r w:rsidRPr="00616444">
              <w:rPr>
                <w:rFonts w:ascii="Arial" w:hAnsi="Arial" w:cs="Arial"/>
                <w:b/>
                <w:sz w:val="20"/>
                <w:szCs w:val="20"/>
                <w:lang w:val="en-SG"/>
              </w:rPr>
              <w:t>Twitter</w:t>
            </w:r>
          </w:p>
        </w:tc>
        <w:tc>
          <w:tcPr>
            <w:tcW w:w="5954" w:type="dxa"/>
          </w:tcPr>
          <w:p w14:paraId="25D29D8D" w14:textId="77777777" w:rsidR="00C96DCF" w:rsidRPr="005216A0" w:rsidRDefault="00374452" w:rsidP="00E35512">
            <w:pPr>
              <w:jc w:val="both"/>
              <w:rPr>
                <w:rFonts w:ascii="Arial" w:hAnsi="Arial" w:cs="Arial"/>
                <w:sz w:val="20"/>
                <w:szCs w:val="20"/>
                <w:u w:val="single"/>
                <w:lang w:val="en-SG"/>
              </w:rPr>
            </w:pPr>
            <w:hyperlink r:id="rId9" w:history="1">
              <w:r w:rsidR="00C96DCF" w:rsidRPr="005216A0">
                <w:rPr>
                  <w:rStyle w:val="Hyperlink"/>
                  <w:rFonts w:ascii="Arial" w:hAnsi="Arial" w:cs="Arial"/>
                  <w:sz w:val="20"/>
                  <w:szCs w:val="20"/>
                  <w:lang w:val="en-SG"/>
                </w:rPr>
                <w:t>https://twitter.com/vitafoodsasia</w:t>
              </w:r>
            </w:hyperlink>
          </w:p>
        </w:tc>
      </w:tr>
      <w:tr w:rsidR="00C96DCF" w:rsidRPr="00734896" w14:paraId="61C4A1A9" w14:textId="77777777" w:rsidTr="00E35512">
        <w:tc>
          <w:tcPr>
            <w:tcW w:w="1242" w:type="dxa"/>
          </w:tcPr>
          <w:p w14:paraId="517D3330" w14:textId="77777777" w:rsidR="00C96DCF" w:rsidRPr="00616444" w:rsidRDefault="00C96DCF" w:rsidP="00E35512">
            <w:pPr>
              <w:jc w:val="both"/>
              <w:rPr>
                <w:rFonts w:ascii="Arial" w:hAnsi="Arial" w:cs="Arial"/>
                <w:b/>
                <w:sz w:val="20"/>
                <w:szCs w:val="20"/>
                <w:lang w:val="en-SG"/>
              </w:rPr>
            </w:pPr>
            <w:r w:rsidRPr="00616444">
              <w:rPr>
                <w:rFonts w:ascii="Arial" w:hAnsi="Arial" w:cs="Arial"/>
                <w:b/>
                <w:sz w:val="20"/>
                <w:szCs w:val="20"/>
                <w:lang w:val="en-SG"/>
              </w:rPr>
              <w:t>WeChat</w:t>
            </w:r>
          </w:p>
        </w:tc>
        <w:tc>
          <w:tcPr>
            <w:tcW w:w="5954" w:type="dxa"/>
          </w:tcPr>
          <w:p w14:paraId="4B219101" w14:textId="77777777" w:rsidR="00C96DCF" w:rsidRPr="00734896" w:rsidRDefault="00C96DCF" w:rsidP="00E35512">
            <w:pPr>
              <w:jc w:val="both"/>
              <w:rPr>
                <w:rFonts w:ascii="Arial" w:hAnsi="Arial" w:cs="Arial"/>
                <w:lang w:val="en-SG"/>
              </w:rPr>
            </w:pPr>
            <w:r w:rsidRPr="00734896">
              <w:rPr>
                <w:rFonts w:ascii="Arial" w:hAnsi="Arial" w:cs="Arial"/>
                <w:noProof/>
                <w:lang w:val="en-NZ" w:eastAsia="en-NZ"/>
              </w:rPr>
              <w:drawing>
                <wp:inline distT="0" distB="0" distL="0" distR="0" wp14:anchorId="4F7AC97A" wp14:editId="34903B8A">
                  <wp:extent cx="1033145" cy="1033145"/>
                  <wp:effectExtent l="0" t="0" r="8255" b="8255"/>
                  <wp:docPr id="1" name="Picture 1" descr="Macintosh HD:Users:kellykuan:Documents:02. clients:Vitafoods Asia:2015:-from client:wechat QR code 108 x 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llykuan:Documents:02. clients:Vitafoods Asia:2015:-from client:wechat QR code 108 x 108.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033145" cy="1033145"/>
                          </a:xfrm>
                          <a:prstGeom prst="rect">
                            <a:avLst/>
                          </a:prstGeom>
                          <a:noFill/>
                          <a:ln>
                            <a:noFill/>
                          </a:ln>
                        </pic:spPr>
                      </pic:pic>
                    </a:graphicData>
                  </a:graphic>
                </wp:inline>
              </w:drawing>
            </w:r>
          </w:p>
        </w:tc>
      </w:tr>
    </w:tbl>
    <w:p w14:paraId="748026D6"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5DDFDA99" w14:textId="77777777" w:rsidR="00FF652F" w:rsidRPr="00FF652F" w:rsidRDefault="00FF652F" w:rsidP="00FF652F">
      <w:pPr>
        <w:pStyle w:val="Footer"/>
        <w:ind w:right="220"/>
        <w:jc w:val="center"/>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w:t>
      </w:r>
    </w:p>
    <w:p w14:paraId="6FD20ABA"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67F27808" w14:textId="62D084B6" w:rsidR="00FF652F" w:rsidRPr="00FF652F" w:rsidRDefault="00FF652F" w:rsidP="00FF652F">
      <w:pPr>
        <w:pStyle w:val="Footer"/>
        <w:ind w:right="220"/>
        <w:jc w:val="both"/>
        <w:rPr>
          <w:rFonts w:ascii="Arial" w:eastAsia="Times New Roman" w:hAnsi="Arial" w:cs="Arial"/>
          <w:b/>
          <w:noProof/>
          <w:color w:val="000000" w:themeColor="text1"/>
          <w:sz w:val="20"/>
          <w:szCs w:val="20"/>
          <w:lang w:val="en-GB" w:eastAsia="zh-CN"/>
        </w:rPr>
      </w:pPr>
      <w:r>
        <w:rPr>
          <w:rFonts w:ascii="Arial" w:eastAsia="Times New Roman" w:hAnsi="Arial" w:cs="Arial"/>
          <w:b/>
          <w:noProof/>
          <w:color w:val="000000" w:themeColor="text1"/>
          <w:sz w:val="20"/>
          <w:szCs w:val="20"/>
          <w:lang w:val="en-GB" w:eastAsia="zh-CN"/>
        </w:rPr>
        <w:br w:type="column"/>
      </w:r>
      <w:r w:rsidRPr="00FF652F">
        <w:rPr>
          <w:rFonts w:ascii="Arial" w:eastAsia="Times New Roman" w:hAnsi="Arial" w:cs="Arial"/>
          <w:b/>
          <w:noProof/>
          <w:color w:val="000000" w:themeColor="text1"/>
          <w:sz w:val="20"/>
          <w:szCs w:val="20"/>
          <w:lang w:val="en-GB" w:eastAsia="zh-CN"/>
        </w:rPr>
        <w:lastRenderedPageBreak/>
        <w:t>About Vitafoods Asia</w:t>
      </w:r>
    </w:p>
    <w:p w14:paraId="5BF3AB7D"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2E06B96C"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 xml:space="preserve">Vitafoods Asia is part of Informa Exhibitions’ Global Health &amp; Nutrition Network (GHNN), which brings together a portfolio of events, digital media and publishing for marketers, manufacturers and formulators of nutrition and dietary supplements, healthy foods/beverages and personal care products. GHNN’s events include: Vitafoods Europe, Vitafoods Asia, SupplySide West, SupplySide@Fispal Tecnologia, and Ingredient Marketplace. Natural Products INSIDER is the global media brand covering healthy ingredients and finished applications. For more information, visit </w:t>
      </w:r>
      <w:hyperlink r:id="rId11" w:history="1">
        <w:r w:rsidRPr="00FF652F">
          <w:rPr>
            <w:rStyle w:val="Hyperlink"/>
            <w:rFonts w:ascii="Arial" w:eastAsia="Times New Roman" w:hAnsi="Arial" w:cs="Arial"/>
            <w:noProof/>
            <w:sz w:val="20"/>
            <w:szCs w:val="20"/>
            <w:lang w:val="en-GB" w:eastAsia="zh-CN"/>
          </w:rPr>
          <w:t>www.informaglobalhealth.com</w:t>
        </w:r>
      </w:hyperlink>
      <w:r w:rsidRPr="00FF652F">
        <w:rPr>
          <w:rFonts w:ascii="Arial" w:eastAsia="Times New Roman" w:hAnsi="Arial" w:cs="Arial"/>
          <w:noProof/>
          <w:color w:val="000000" w:themeColor="text1"/>
          <w:sz w:val="20"/>
          <w:szCs w:val="20"/>
          <w:lang w:val="en-GB" w:eastAsia="zh-CN"/>
        </w:rPr>
        <w:t>.</w:t>
      </w:r>
    </w:p>
    <w:p w14:paraId="530423FF"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60E5DD94"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Informa’s Global Exhibitions Division organises transaction-oriented exhibitions and trade shows, which provide buyers and sellers across different industries and communities with a powerful platform to meet face-to-face, build relationships, and conduct business. Informa has a portfolio of more than 150 exhibitions, serving a number of core verticals, including Health &amp; Nutrition, Beauty, Property &amp; Construction and Pop Culture.</w:t>
      </w:r>
    </w:p>
    <w:p w14:paraId="6D725ED7"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p>
    <w:p w14:paraId="57AD4368"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b/>
          <w:noProof/>
          <w:color w:val="000000" w:themeColor="text1"/>
          <w:sz w:val="20"/>
          <w:szCs w:val="20"/>
          <w:u w:val="single"/>
          <w:lang w:val="en-GB" w:eastAsia="zh-CN"/>
        </w:rPr>
        <w:t>Editorial Contact</w:t>
      </w:r>
      <w:r w:rsidRPr="00FF652F">
        <w:rPr>
          <w:rFonts w:ascii="Arial" w:eastAsia="Times New Roman" w:hAnsi="Arial" w:cs="Arial"/>
          <w:noProof/>
          <w:color w:val="000000" w:themeColor="text1"/>
          <w:sz w:val="20"/>
          <w:szCs w:val="20"/>
          <w:lang w:val="en-GB" w:eastAsia="zh-CN"/>
        </w:rPr>
        <w:t xml:space="preserve"> </w:t>
      </w:r>
      <w:r w:rsidRPr="00FF652F">
        <w:rPr>
          <w:rFonts w:ascii="Arial" w:eastAsia="Times New Roman" w:hAnsi="Arial" w:cs="Arial"/>
          <w:i/>
          <w:noProof/>
          <w:color w:val="000000" w:themeColor="text1"/>
          <w:sz w:val="20"/>
          <w:szCs w:val="20"/>
          <w:lang w:val="en-GB" w:eastAsia="zh-CN"/>
        </w:rPr>
        <w:t xml:space="preserve">– </w:t>
      </w:r>
      <w:r w:rsidRPr="00FF652F">
        <w:rPr>
          <w:rFonts w:ascii="Arial" w:eastAsia="Times New Roman" w:hAnsi="Arial" w:cs="Arial"/>
          <w:i/>
          <w:noProof/>
          <w:color w:val="000000" w:themeColor="text1"/>
          <w:sz w:val="16"/>
          <w:szCs w:val="16"/>
          <w:lang w:val="en-GB" w:eastAsia="zh-CN"/>
        </w:rPr>
        <w:t>please do not publish</w:t>
      </w:r>
    </w:p>
    <w:p w14:paraId="2CFFDCCD" w14:textId="77777777" w:rsidR="00FF652F" w:rsidRPr="00FF652F" w:rsidRDefault="00FF652F" w:rsidP="00FF652F">
      <w:pPr>
        <w:pStyle w:val="Footer"/>
        <w:ind w:right="220"/>
        <w:jc w:val="both"/>
        <w:rPr>
          <w:rFonts w:ascii="Arial" w:eastAsia="Times New Roman" w:hAnsi="Arial" w:cs="Arial"/>
          <w:noProof/>
          <w:color w:val="000000" w:themeColor="text1"/>
          <w:sz w:val="20"/>
          <w:szCs w:val="20"/>
          <w:lang w:val="en-GB" w:eastAsia="zh-CN"/>
        </w:rPr>
      </w:pPr>
      <w:r w:rsidRPr="00FF652F">
        <w:rPr>
          <w:rFonts w:ascii="Arial" w:eastAsia="Times New Roman" w:hAnsi="Arial" w:cs="Arial"/>
          <w:noProof/>
          <w:color w:val="000000" w:themeColor="text1"/>
          <w:sz w:val="20"/>
          <w:szCs w:val="20"/>
          <w:lang w:val="en-GB" w:eastAsia="zh-CN"/>
        </w:rPr>
        <w:t xml:space="preserve">Ms Alina Tee | </w:t>
      </w:r>
      <w:r w:rsidRPr="00FF652F">
        <w:rPr>
          <w:rFonts w:ascii="Arial" w:eastAsia="Times New Roman" w:hAnsi="Arial" w:cs="Arial"/>
          <w:b/>
          <w:i/>
          <w:noProof/>
          <w:color w:val="000000" w:themeColor="text1"/>
          <w:sz w:val="20"/>
          <w:szCs w:val="20"/>
          <w:lang w:val="en-GB" w:eastAsia="zh-CN"/>
        </w:rPr>
        <w:t>t</w:t>
      </w:r>
      <w:r w:rsidRPr="00FF652F">
        <w:rPr>
          <w:rFonts w:ascii="Arial" w:eastAsia="Times New Roman" w:hAnsi="Arial" w:cs="Arial"/>
          <w:noProof/>
          <w:color w:val="000000" w:themeColor="text1"/>
          <w:sz w:val="20"/>
          <w:szCs w:val="20"/>
          <w:lang w:val="en-GB" w:eastAsia="zh-CN"/>
        </w:rPr>
        <w:t xml:space="preserve">: +65 6220 4787 | </w:t>
      </w:r>
      <w:r w:rsidRPr="00FF652F">
        <w:rPr>
          <w:rFonts w:ascii="Arial" w:eastAsia="Times New Roman" w:hAnsi="Arial" w:cs="Arial"/>
          <w:b/>
          <w:i/>
          <w:noProof/>
          <w:color w:val="000000" w:themeColor="text1"/>
          <w:sz w:val="20"/>
          <w:szCs w:val="20"/>
          <w:lang w:val="en-GB" w:eastAsia="zh-CN"/>
        </w:rPr>
        <w:t>e</w:t>
      </w:r>
      <w:r w:rsidRPr="00FF652F">
        <w:rPr>
          <w:rFonts w:ascii="Arial" w:eastAsia="Times New Roman" w:hAnsi="Arial" w:cs="Arial"/>
          <w:noProof/>
          <w:color w:val="000000" w:themeColor="text1"/>
          <w:sz w:val="20"/>
          <w:szCs w:val="20"/>
          <w:lang w:val="en-GB" w:eastAsia="zh-CN"/>
        </w:rPr>
        <w:t xml:space="preserve">: </w:t>
      </w:r>
      <w:hyperlink r:id="rId12" w:history="1">
        <w:r w:rsidRPr="00FF652F">
          <w:rPr>
            <w:rStyle w:val="Hyperlink"/>
            <w:rFonts w:ascii="Arial" w:eastAsia="Times New Roman" w:hAnsi="Arial" w:cs="Arial"/>
            <w:noProof/>
            <w:sz w:val="20"/>
            <w:szCs w:val="20"/>
            <w:lang w:val="en-GB" w:eastAsia="zh-CN"/>
          </w:rPr>
          <w:t>alina@redbugpr.com</w:t>
        </w:r>
      </w:hyperlink>
    </w:p>
    <w:p w14:paraId="4F9310C6" w14:textId="5135EB07" w:rsidR="00142F36" w:rsidRPr="00FF652F" w:rsidRDefault="00142F36" w:rsidP="00FF652F">
      <w:pPr>
        <w:pStyle w:val="Footer"/>
        <w:ind w:right="220"/>
        <w:jc w:val="both"/>
        <w:rPr>
          <w:noProof/>
          <w:color w:val="000000" w:themeColor="text1"/>
          <w:sz w:val="20"/>
          <w:szCs w:val="20"/>
          <w:lang w:val="en-SG" w:eastAsia="zh-CN"/>
        </w:rPr>
      </w:pPr>
      <w:r w:rsidRPr="00FF652F">
        <w:rPr>
          <w:rFonts w:ascii="Arial" w:eastAsia="Times New Roman" w:hAnsi="Arial" w:cs="Arial"/>
          <w:noProof/>
          <w:color w:val="000000" w:themeColor="text1"/>
          <w:sz w:val="20"/>
          <w:szCs w:val="20"/>
          <w:lang w:val="en-SG" w:eastAsia="zh-CN"/>
        </w:rPr>
        <w:t xml:space="preserve">            </w:t>
      </w:r>
    </w:p>
    <w:p w14:paraId="58CCD604" w14:textId="3F80881F" w:rsidR="00142F36" w:rsidRPr="00FF652F" w:rsidRDefault="00142F36" w:rsidP="00FF652F">
      <w:pPr>
        <w:pStyle w:val="Footer"/>
        <w:jc w:val="both"/>
        <w:rPr>
          <w:rFonts w:ascii="Arial" w:eastAsia="Times New Roman" w:hAnsi="Arial" w:cs="Arial"/>
          <w:noProof/>
          <w:color w:val="000000" w:themeColor="text1"/>
          <w:sz w:val="20"/>
          <w:szCs w:val="20"/>
          <w:lang w:val="en-SG" w:eastAsia="zh-CN"/>
        </w:rPr>
      </w:pPr>
    </w:p>
    <w:p w14:paraId="05DDD0AC" w14:textId="77777777" w:rsidR="005B22D0" w:rsidRPr="00FF652F" w:rsidRDefault="005B22D0" w:rsidP="00FF652F">
      <w:pPr>
        <w:jc w:val="both"/>
        <w:rPr>
          <w:color w:val="000000" w:themeColor="text1"/>
          <w:sz w:val="20"/>
          <w:szCs w:val="20"/>
        </w:rPr>
      </w:pPr>
    </w:p>
    <w:sectPr w:rsidR="005B22D0" w:rsidRPr="00FF652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7CD7D" w14:textId="77777777" w:rsidR="00374452" w:rsidRDefault="00374452" w:rsidP="006D1604">
      <w:pPr>
        <w:spacing w:after="0" w:line="240" w:lineRule="auto"/>
      </w:pPr>
      <w:r>
        <w:separator/>
      </w:r>
    </w:p>
  </w:endnote>
  <w:endnote w:type="continuationSeparator" w:id="0">
    <w:p w14:paraId="73AD229D" w14:textId="77777777" w:rsidR="00374452" w:rsidRDefault="00374452" w:rsidP="006D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648"/>
    </w:tblGrid>
    <w:tr w:rsidR="00142F36" w14:paraId="5E6F95FF" w14:textId="77777777" w:rsidTr="0093339F">
      <w:tc>
        <w:tcPr>
          <w:tcW w:w="4788" w:type="dxa"/>
        </w:tcPr>
        <w:p w14:paraId="7DCED93D" w14:textId="77777777" w:rsidR="00142F36" w:rsidRDefault="00142F36" w:rsidP="00142F36">
          <w:pPr>
            <w:pStyle w:val="Footer"/>
            <w:ind w:right="220"/>
            <w:rPr>
              <w:noProof/>
              <w:color w:val="BFBFBF" w:themeColor="background1" w:themeShade="BF"/>
              <w:lang w:eastAsia="zh-CN"/>
            </w:rPr>
          </w:pPr>
          <w:r>
            <w:rPr>
              <w:rFonts w:ascii="Arial" w:eastAsia="Times New Roman" w:hAnsi="Arial" w:cs="Arial"/>
              <w:noProof/>
              <w:color w:val="999999"/>
              <w:sz w:val="17"/>
              <w:szCs w:val="17"/>
              <w:lang w:val="en-NZ" w:eastAsia="en-NZ"/>
            </w:rPr>
            <w:drawing>
              <wp:inline distT="0" distB="0" distL="0" distR="0" wp14:anchorId="79DA4B79" wp14:editId="468E5A1E">
                <wp:extent cx="1809750" cy="285750"/>
                <wp:effectExtent l="0" t="0" r="0" b="0"/>
                <wp:docPr id="8" name="Picture 8" descr="Global Health &amp; Nutrition Network">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bal Health &amp; Nutrition Networ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285750"/>
                        </a:xfrm>
                        <a:prstGeom prst="rect">
                          <a:avLst/>
                        </a:prstGeom>
                        <a:noFill/>
                        <a:ln>
                          <a:noFill/>
                        </a:ln>
                      </pic:spPr>
                    </pic:pic>
                  </a:graphicData>
                </a:graphic>
              </wp:inline>
            </w:drawing>
          </w:r>
        </w:p>
        <w:p w14:paraId="21B923E9" w14:textId="55E158FD" w:rsidR="00142F36" w:rsidRPr="00F778F5" w:rsidRDefault="00142F36" w:rsidP="00142F36">
          <w:pPr>
            <w:pStyle w:val="Footer"/>
            <w:rPr>
              <w:rFonts w:ascii="Arial" w:eastAsia="Times New Roman" w:hAnsi="Arial" w:cs="Arial"/>
              <w:noProof/>
              <w:color w:val="999999"/>
              <w:sz w:val="14"/>
              <w:szCs w:val="14"/>
              <w:lang w:val="en-SG" w:eastAsia="zh-CN"/>
            </w:rPr>
          </w:pPr>
          <w:r w:rsidRPr="00F778F5">
            <w:rPr>
              <w:rFonts w:ascii="Arial" w:eastAsia="Times New Roman" w:hAnsi="Arial" w:cs="Arial"/>
              <w:noProof/>
              <w:color w:val="999999"/>
              <w:sz w:val="14"/>
              <w:szCs w:val="14"/>
              <w:lang w:val="en-SG" w:eastAsia="zh-CN"/>
            </w:rPr>
            <w:t xml:space="preserve">I.I.R. Exhibitions Limited </w:t>
          </w:r>
        </w:p>
        <w:p w14:paraId="411FB35C" w14:textId="77777777" w:rsidR="00142F36" w:rsidRPr="00F778F5" w:rsidRDefault="00142F36" w:rsidP="00142F36">
          <w:pPr>
            <w:pStyle w:val="Footer"/>
            <w:rPr>
              <w:rFonts w:ascii="Arial" w:eastAsia="Times New Roman" w:hAnsi="Arial" w:cs="Arial"/>
              <w:noProof/>
              <w:color w:val="999999"/>
              <w:sz w:val="14"/>
              <w:szCs w:val="14"/>
              <w:lang w:val="en-SG" w:eastAsia="zh-CN"/>
            </w:rPr>
          </w:pPr>
          <w:r w:rsidRPr="00F778F5">
            <w:rPr>
              <w:rFonts w:ascii="Arial" w:eastAsia="Times New Roman" w:hAnsi="Arial" w:cs="Arial"/>
              <w:noProof/>
              <w:color w:val="999999"/>
              <w:sz w:val="14"/>
              <w:szCs w:val="14"/>
              <w:lang w:val="en-SG" w:eastAsia="zh-CN"/>
            </w:rPr>
            <w:t xml:space="preserve">5 Howick Place, London, SW1P 1WG, United Kingdom         </w:t>
          </w:r>
        </w:p>
        <w:p w14:paraId="56A37005" w14:textId="7ACD62DE" w:rsidR="00142F36" w:rsidRPr="00142F36" w:rsidRDefault="00142F36" w:rsidP="00142F36">
          <w:pPr>
            <w:pStyle w:val="Footer"/>
          </w:pPr>
          <w:r w:rsidRPr="00F778F5">
            <w:rPr>
              <w:rFonts w:ascii="Arial" w:eastAsia="Times New Roman" w:hAnsi="Arial" w:cs="Arial"/>
              <w:noProof/>
              <w:color w:val="999999"/>
              <w:sz w:val="14"/>
              <w:szCs w:val="14"/>
              <w:lang w:val="en-SG" w:eastAsia="zh-CN"/>
            </w:rPr>
            <w:t xml:space="preserve">Registered in England under no. 2972059                                                                                            </w:t>
          </w:r>
        </w:p>
      </w:tc>
      <w:tc>
        <w:tcPr>
          <w:tcW w:w="4788" w:type="dxa"/>
        </w:tcPr>
        <w:p w14:paraId="570D4981" w14:textId="0F40A03D" w:rsidR="00142F36" w:rsidRPr="00F778F5" w:rsidRDefault="00F778F5" w:rsidP="00F778F5">
          <w:pPr>
            <w:pStyle w:val="Footer"/>
            <w:ind w:right="760"/>
            <w:jc w:val="center"/>
            <w:rPr>
              <w:rFonts w:ascii="Arial" w:hAnsi="Arial" w:cs="Arial"/>
              <w:noProof/>
              <w:color w:val="BFBFBF" w:themeColor="background1" w:themeShade="BF"/>
              <w:sz w:val="14"/>
              <w:szCs w:val="14"/>
              <w:lang w:eastAsia="zh-CN"/>
            </w:rPr>
          </w:pPr>
          <w:r>
            <w:rPr>
              <w:rFonts w:ascii="Arial" w:hAnsi="Arial" w:cs="Arial"/>
              <w:noProof/>
              <w:color w:val="BFBFBF" w:themeColor="background1" w:themeShade="BF"/>
              <w:sz w:val="14"/>
              <w:szCs w:val="14"/>
              <w:lang w:val="en-SG" w:eastAsia="zh-CN"/>
            </w:rPr>
            <w:t xml:space="preserve">                                                               </w:t>
          </w:r>
          <w:r w:rsidR="00142F36" w:rsidRPr="00F778F5">
            <w:rPr>
              <w:rFonts w:ascii="Arial" w:hAnsi="Arial" w:cs="Arial"/>
              <w:noProof/>
              <w:color w:val="BFBFBF" w:themeColor="background1" w:themeShade="BF"/>
              <w:sz w:val="14"/>
              <w:szCs w:val="14"/>
              <w:lang w:val="en-SG" w:eastAsia="zh-CN"/>
            </w:rPr>
            <w:t>O</w:t>
          </w:r>
          <w:r w:rsidR="00142F36" w:rsidRPr="00F778F5">
            <w:rPr>
              <w:rFonts w:ascii="Arial" w:hAnsi="Arial" w:cs="Arial"/>
              <w:noProof/>
              <w:color w:val="BFBFBF" w:themeColor="background1" w:themeShade="BF"/>
              <w:sz w:val="14"/>
              <w:szCs w:val="14"/>
              <w:lang w:eastAsia="zh-CN"/>
            </w:rPr>
            <w:t>rganised by:</w:t>
          </w:r>
        </w:p>
        <w:p w14:paraId="33C9C3F6" w14:textId="77777777" w:rsidR="00142F36" w:rsidRDefault="00142F36" w:rsidP="00F778F5">
          <w:pPr>
            <w:pStyle w:val="Footer"/>
            <w:ind w:right="660"/>
            <w:jc w:val="right"/>
            <w:rPr>
              <w:noProof/>
              <w:color w:val="BFBFBF" w:themeColor="background1" w:themeShade="BF"/>
              <w:lang w:val="en-SG" w:eastAsia="zh-CN"/>
            </w:rPr>
          </w:pPr>
          <w:r>
            <w:rPr>
              <w:rFonts w:ascii="Arial" w:eastAsia="Times New Roman" w:hAnsi="Arial" w:cs="Arial"/>
              <w:noProof/>
              <w:color w:val="999999"/>
              <w:sz w:val="17"/>
              <w:szCs w:val="17"/>
              <w:lang w:val="en-NZ" w:eastAsia="en-NZ"/>
            </w:rPr>
            <w:drawing>
              <wp:inline distT="0" distB="0" distL="0" distR="0" wp14:anchorId="5E23FFCC" wp14:editId="661A6BE0">
                <wp:extent cx="733425" cy="347412"/>
                <wp:effectExtent l="0" t="0" r="0" b="0"/>
                <wp:docPr id="9" name="Picture 9" descr="Informa Exhibitions">
                  <a:hlinkClick xmlns:a="http://schemas.openxmlformats.org/drawingml/2006/main" r:id="rId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 Exhibiti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7925" cy="359017"/>
                        </a:xfrm>
                        <a:prstGeom prst="rect">
                          <a:avLst/>
                        </a:prstGeom>
                        <a:noFill/>
                        <a:ln>
                          <a:noFill/>
                        </a:ln>
                      </pic:spPr>
                    </pic:pic>
                  </a:graphicData>
                </a:graphic>
              </wp:inline>
            </w:drawing>
          </w:r>
        </w:p>
      </w:tc>
    </w:tr>
  </w:tbl>
  <w:p w14:paraId="451D0266" w14:textId="5C43DED7" w:rsidR="00142F36" w:rsidRPr="00142F36" w:rsidRDefault="00142F36" w:rsidP="00142F36">
    <w:pPr>
      <w:pStyle w:val="Footer"/>
    </w:pPr>
    <w:r w:rsidRPr="00142F3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917BC" w14:textId="77777777" w:rsidR="00374452" w:rsidRDefault="00374452" w:rsidP="006D1604">
      <w:pPr>
        <w:spacing w:after="0" w:line="240" w:lineRule="auto"/>
      </w:pPr>
      <w:r>
        <w:separator/>
      </w:r>
    </w:p>
  </w:footnote>
  <w:footnote w:type="continuationSeparator" w:id="0">
    <w:p w14:paraId="094E6953" w14:textId="77777777" w:rsidR="00374452" w:rsidRDefault="00374452" w:rsidP="006D1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45A0" w14:textId="718735AA" w:rsidR="006D1604" w:rsidRDefault="0020002B" w:rsidP="0020002B">
    <w:pPr>
      <w:pStyle w:val="Header"/>
      <w:jc w:val="right"/>
    </w:pPr>
    <w:r w:rsidRPr="0020002B">
      <w:rPr>
        <w:noProof/>
        <w:lang w:val="en-NZ" w:eastAsia="en-NZ"/>
      </w:rPr>
      <w:drawing>
        <wp:inline distT="0" distB="0" distL="0" distR="0" wp14:anchorId="5F614E5F" wp14:editId="466D4375">
          <wp:extent cx="1571625" cy="1257300"/>
          <wp:effectExtent l="0" t="0" r="9525" b="0"/>
          <wp:docPr id="10" name="Picture 10" descr="C:\Informa\1 Vitafoods\2016 VFA\Design\VFA logo\Vita foods Asia logo 2016 landscape dates stra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nforma\1 Vitafoods\2016 VFA\Design\VFA logo\Vita foods Asia logo 2016 landscape dates strap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1257300"/>
                  </a:xfrm>
                  <a:prstGeom prst="rect">
                    <a:avLst/>
                  </a:prstGeom>
                  <a:noFill/>
                  <a:ln>
                    <a:noFill/>
                  </a:ln>
                </pic:spPr>
              </pic:pic>
            </a:graphicData>
          </a:graphic>
        </wp:inline>
      </w:drawing>
    </w:r>
  </w:p>
  <w:p w14:paraId="0173CA85" w14:textId="77777777" w:rsidR="006D1604" w:rsidRDefault="006D1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B67E5"/>
    <w:multiLevelType w:val="hybridMultilevel"/>
    <w:tmpl w:val="FF78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CE1"/>
    <w:rsid w:val="00083CE1"/>
    <w:rsid w:val="000A05F9"/>
    <w:rsid w:val="000D0B1E"/>
    <w:rsid w:val="00142F36"/>
    <w:rsid w:val="00163810"/>
    <w:rsid w:val="00174BDA"/>
    <w:rsid w:val="0020002B"/>
    <w:rsid w:val="00367771"/>
    <w:rsid w:val="00374452"/>
    <w:rsid w:val="005B22D0"/>
    <w:rsid w:val="0062015E"/>
    <w:rsid w:val="006D1604"/>
    <w:rsid w:val="006E2121"/>
    <w:rsid w:val="006F4E92"/>
    <w:rsid w:val="00A33708"/>
    <w:rsid w:val="00BF1494"/>
    <w:rsid w:val="00C96DCF"/>
    <w:rsid w:val="00D2340E"/>
    <w:rsid w:val="00D50094"/>
    <w:rsid w:val="00F778F5"/>
    <w:rsid w:val="00FF6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BB4736"/>
  <w15:docId w15:val="{3E7CE4F4-1BD6-48FF-9F0A-685C9998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CE1"/>
    <w:rPr>
      <w:rFonts w:ascii="Tahoma" w:hAnsi="Tahoma" w:cs="Tahoma"/>
      <w:sz w:val="16"/>
      <w:szCs w:val="16"/>
    </w:rPr>
  </w:style>
  <w:style w:type="paragraph" w:styleId="Header">
    <w:name w:val="header"/>
    <w:basedOn w:val="Normal"/>
    <w:link w:val="HeaderChar"/>
    <w:uiPriority w:val="99"/>
    <w:unhideWhenUsed/>
    <w:rsid w:val="006D1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604"/>
  </w:style>
  <w:style w:type="paragraph" w:styleId="Footer">
    <w:name w:val="footer"/>
    <w:basedOn w:val="Normal"/>
    <w:link w:val="FooterChar"/>
    <w:uiPriority w:val="99"/>
    <w:unhideWhenUsed/>
    <w:rsid w:val="006D1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604"/>
  </w:style>
  <w:style w:type="table" w:styleId="TableGrid">
    <w:name w:val="Table Grid"/>
    <w:basedOn w:val="TableNormal"/>
    <w:uiPriority w:val="59"/>
    <w:rsid w:val="0014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65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grp/home?gid=743144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tafoodsasia.com" TargetMode="External"/><Relationship Id="rId12" Type="http://schemas.openxmlformats.org/officeDocument/2006/relationships/hyperlink" Target="mailto:alina@redbugp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rmaglobalhealth.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witter.com/vitafoodsasi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protect-us.mimecast.com/s/arG6BRuegNLmSp" TargetMode="External"/><Relationship Id="rId2" Type="http://schemas.openxmlformats.org/officeDocument/2006/relationships/image" Target="media/image3.jpeg"/><Relationship Id="rId1" Type="http://schemas.openxmlformats.org/officeDocument/2006/relationships/hyperlink" Target="https://protect-us.mimecast.com/s/wXWmB3U0V3R7f3"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Rahardjo, Arie</dc:creator>
  <cp:lastModifiedBy>Kerry Warn</cp:lastModifiedBy>
  <cp:revision>2</cp:revision>
  <cp:lastPrinted>2016-04-28T07:14:00Z</cp:lastPrinted>
  <dcterms:created xsi:type="dcterms:W3CDTF">2016-05-10T22:39:00Z</dcterms:created>
  <dcterms:modified xsi:type="dcterms:W3CDTF">2016-05-10T22:39:00Z</dcterms:modified>
</cp:coreProperties>
</file>